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167 vom 17. Juni 2024</w:t>
      </w:r>
    </w:p>
    <w:p>
      <w:r>
        <w:t>FR Kantonsgericht, 2024-06-17, FR</w:t>
      </w:r>
    </w:p>
    <w:p>
      <w:r>
        <w:rPr>
          <w:b/>
        </w:rPr>
        <w:t xml:space="preserve">Quelle: </w:t>
      </w:r>
      <w:r>
        <w:t>https://mcp.opencaselaw.ch/entscheid/fr_gerichte_101 2024 167</w:t>
      </w:r>
    </w:p>
    <w:p>
      <w:r>
        <w:t>FR: FR_GERICHTE 101 2024 167 du 17 juin 2024</w:t>
      </w:r>
    </w:p>
    <w:p>
      <w:r>
        <w:t>IT: FR_GERICHTE 101 2024 167 del 17 giugno 2024</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soit supérieure à CHF 10'000.- (art. 308 al. 1 let. b et al. 2 CPC). Le délai d'appel en procédure sommaire – qui régit</w:t>
      </w:r>
    </w:p>
    <w:p>
      <w:r>
        <w:t>Tribunal cantonal TC Page 3 de 5 notamment les mesures provisionnelles durant une procédure de divorce (art. 271 CPC par renvoi de l'art. 276 al. 1 CPC) – est de 10 jours (art. 314 al. 1 CPC). En l'espèce, la décision attaquée a été notifiée au mandataire de l'appelant le 22 avril 2024. Déposé le 2 mai 2024, l'appel a dès lors été interjeté en temps utile. Le mémoire est, de plus, dûment motivé et doté de conclusions. En outre, vu le montant – entièrement contesté – de l'augmentation de la contribution d'entretien requise en première instance pour une durée indéterminée, la valeur litigieuse au dernier état des conclusions est clairement supérieure à CHF 10'000.-. Il s'ensuit la recevabilité de l'appel.</w:t>
      </w:r>
    </w:p>
    <w:p>
      <w:r>
        <w:rPr>
          <w:b/>
        </w:rPr>
        <w:t>E. 1.2</w:t>
      </w:r>
    </w:p>
    <w:p>
      <w:r>
        <w:t>La procédure sommaire (art. 252 ss CPC) s'applique aux causes de mesures provisionnelles (art. 271 par renvoi de l'art. 276 al. 1 CPC), le tribunal établissant toutefois les faits d'office (maxime inquisitoire sociale, art. 272 CPC). Par ailleurs, si la Cour applique le droit d'office (art. 57 CPC), elle doit en principe, hormis pour les cas de vices manifestes comme celui qui sera relevé en l'espèce (infra, consid. 2), se limiter à statuer sur les critiques formulées dans la motivation écrite de l'appel (ATF 142 III 413 consid. 2.2.4).</w:t>
      </w:r>
    </w:p>
    <w:p>
      <w:r>
        <w:rPr>
          <w:b/>
        </w:rPr>
        <w:t>E. 1.3</w:t>
      </w:r>
    </w:p>
    <w:p>
      <w:r>
        <w:t>La cognition de la Cour d'appel est pleine et entière, en fait comme en droit (art. 310 CPC).</w:t>
      </w:r>
    </w:p>
    <w:p>
      <w:r>
        <w:rPr>
          <w:b/>
        </w:rPr>
        <w:t>E. 1.4</w:t>
      </w:r>
    </w:p>
    <w:p>
      <w:r>
        <w:t>Selon l'art. 316 al. 1 CPC, la Cour d'appel peut statuer sur pièces.</w:t>
      </w:r>
    </w:p>
    <w:p>
      <w:r>
        <w:rPr>
          <w:b/>
        </w:rPr>
        <w:t>E. 2.1</w:t>
      </w:r>
    </w:p>
    <w:p>
      <w:r>
        <w:t>Le droit d'être entendu garanti par l'art. 29 al. 2 Cst comprend notamment le droit pour le justiciable de s'exprimer sur les éléments pertinents avant qu'une décision ne soit prise touchant sa situation juridique, d'avoir accès au dossier, de produire des preuves pertinentes, de participer à l'administration des preuves essentielles, ainsi que de prendre connaissance de toute argumentation présentée au tribunal et de se déterminer à son propos (ATF 142 III 48 consid. 4.1.1). En droit matrimonial, l'art. 273 al. 1 CPC prévoit en particulier que le tribunal doit tenir une audience ; il ne peut y renoncer que s'il résulte des allégués des parties que l'état de fait est clair ou incontesté. La tenue d'une audience est dès lors obligatoire et la renonciation à celle-ci doit demeurer exceptionnelle, la doctrine (CR CPC – TAPPY, 2ème éd. 2019, art. 273 n. 19) estimant que le tribunal ne peut "le faire que dans des cas simples et sans contestation quant aux faits ou si les époux ont déjà comparu récemment devant lui, par exemple s'il s'agit (…) de ratifier une convention des parties" (cf. arrêt TC FR 101 2012 300 du 3 décembre 2013 consid. 2b). Le droit d’être entendu est un droit de nature formelle, dont la violation entraîne l’annulation de la décision attaquée sans égard aux chances de succès du recours sur le fond. Ce moyen doit par conséquent être examiné en premier lieu. La jurisprudence permet toutefois de renoncer à l’annulation d’une décision violant le droit d’être entendu lorsque l’autorité de recours, devant laquelle la partie lésée a pu s'exprimer, dispose d’un plein pouvoir d’examen lui permettant de réparer le vice en seconde instance ; une telle réparation peut également avoir lieu en cas de manquement grave, si le renvoi de la cause à l’autorité précédente pour cette raison conduirait uniquement au prolongement inutile de la procédure, en faisant fi de l’intérêt des parties à un règlement rapide du litige (ATF 137 I 195 consid. 2.2 et 2.3.2).</w:t>
      </w:r>
    </w:p>
    <w:p>
      <w:r>
        <w:rPr>
          <w:b/>
        </w:rPr>
        <w:t>E. 2.2</w:t>
      </w:r>
    </w:p>
    <w:p>
      <w:r>
        <w:t>En l'espèce, la Cour relève d'office que les conjoints n'ont jamais été entendus personnel- lement par la Présidente. En effet, l'audience du 5 octobre 2023 avait certes pour objet la conciliation sur le fond et les mesures provisionnelles requises par l'épouse, mais les parties n'ont cependant pas été interrogées, le procès-verbal faisant uniquement mention de questions préliminaires et des deux accords conclus par les époux (DO 15 2023 37 / 37-38). Quant à la procédure suite à la requête de modification des mesures provisionnelles du 13 mars 2024, la première juge n'a pas tenu</w:t>
      </w:r>
    </w:p>
    <w:p>
      <w:r>
        <w:t>Tribunal cantonal TC Page 4 de 5 audience, indiquant au contraire, dans son ordonnance de communication d'acte du 14 mars 2024, qu'il serait "statué sans débats sur les mesures provisionnelles à réception de la détermination de A.________ (art. 256 al. 1 et art. 265 al. 2 CPC)" (DO 10 2024 177 + 178 / 4). Or, ces dispositions légales ne sont pas applicables, vu la teneur de l'art. 273 al. 1 CPC. Il découle de ce qui précède que la Présidente a violé de manière fondamentale le droit d'être entendues des parties. Vu la gravité de cette violation, son manquement ne peut pas être corrigé en appel. Etant donné que l'état de fait doit être complété sur des points essentiels, et afin de ne pas priver les parties du double degré cantonal de juridiction qui leur est garanti par l'art. 75 LTF, il convient d'annuler la décision attaquée et de renvoyer la cause à la première juge pour nouvelles instruction et décision (art. 318 al. 1 let. c ch. 2 CPC). Dans ce cadre, il lui appartiendra de tenir une audience de mesures provisionnelles, d'impartir un délai aux époux pour fournir les documents qui pourraient être nécessaires, puis de rendre une nouvelle décision.</w:t>
      </w:r>
    </w:p>
    <w:p>
      <w:r>
        <w:rPr>
          <w:b/>
        </w:rPr>
        <w:t>E. 2.3</w:t>
      </w:r>
    </w:p>
    <w:p>
      <w:r>
        <w:t>L'appel est dès lors admis dans ses conclusions subsidiaires.</w:t>
      </w:r>
    </w:p>
    <w:p>
      <w:r>
        <w:rPr>
          <w:b/>
        </w:rPr>
        <w:t>E. 3</w:t>
      </w:r>
    </w:p>
    <w:p>
      <w:r>
        <w:t>Vu le présent prononcé sur le fond, la requête d'effet suspensif formulée dans l'appel est sans objet.</w:t>
      </w:r>
    </w:p>
    <w:p>
      <w:r>
        <w:rPr>
          <w:b/>
        </w:rPr>
        <w:t>E. 4.1</w:t>
      </w:r>
    </w:p>
    <w:p>
      <w:r>
        <w:t>Compte tenu de l'erreur grossière de procédure qui conduit à l'admission de l'appel, il se justifie que les frais judiciaires, fixés à CHF 1'000.-, soient laissés à la charge de l'Etat (art. 107 al. 2 CPC). L'avance versée par A.________ lui est restituée (art. 111 al. 2 CPC).</w:t>
      </w:r>
    </w:p>
    <w:p>
      <w:r>
        <w:rPr>
          <w:b/>
        </w:rPr>
        <w:t>E. 4.2</w:t>
      </w:r>
    </w:p>
    <w:p>
      <w:r>
        <w:t>En revanche, l'Etat ne peut pas être astreint à supporter les dépens des parties, l'art. 107 al. 2 CPC ne constituant pas une base légale en ce sens (ATF 140 III 385 consid. 4.1 et 4.2). Il ne sera donc pas alloué de dépens. (dispositif en page suivante)</w:t>
      </w:r>
    </w:p>
    <w:p>
      <w:r>
        <w:t>Tribunal cantonal TC Page 5 de 5 la Cour arrête : I. L'appel est admis. Partant, la décision prononcée le 19 avril 2024 par la Présidente du Tribunal civil de la Broye est annulée. La cause lui est renvoyée pour nouvelles instruction et décision, dans le sens des considérants. II. La requête d'effet suspensif est sans objet. III. Les frais de justice sont fixés à CHF 1'000.- et sont laissés à la charge de l'Etat. L'avance versée par A.________ lui est restituée. IV. Il n'est pas alloué de dépens. 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17 juin 2024/lfa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